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r>
        <w:t>Fallacy of soundness</w:t>
      </w:r>
    </w:p>
    <w:p>
      <w:pPr>
        <w:pStyle w:val="style0"/>
        <w:spacing w:lineRule="auto" w:line="480"/>
        <w:jc w:val="center"/>
        <w:rPr/>
      </w:pPr>
      <w:r>
        <w:t>Institutional affiliation</w:t>
      </w:r>
    </w:p>
    <w:p>
      <w:pPr>
        <w:pStyle w:val="style0"/>
        <w:spacing w:lineRule="auto" w:line="480"/>
        <w:jc w:val="center"/>
        <w:rPr/>
      </w:pPr>
      <w:r>
        <w:t>Name of lecturer</w:t>
      </w:r>
    </w:p>
    <w:p>
      <w:pPr>
        <w:pStyle w:val="style0"/>
        <w:spacing w:lineRule="auto" w:line="480"/>
        <w:jc w:val="center"/>
        <w:rPr/>
      </w:pPr>
      <w:r>
        <w:t>Name of student</w:t>
      </w:r>
    </w:p>
    <w:p>
      <w:pPr>
        <w:pStyle w:val="style0"/>
        <w:spacing w:lineRule="auto" w:line="480"/>
        <w:jc w:val="center"/>
        <w:rPr/>
      </w:pPr>
      <w:r>
        <w:t>Submission date</w:t>
      </w:r>
    </w:p>
    <w:p>
      <w:pPr>
        <w:pStyle w:val="style0"/>
        <w:spacing w:lineRule="auto" w:line="480"/>
        <w:rPr/>
      </w:pPr>
      <w:r>
        <w:br w:type="page"/>
      </w:r>
    </w:p>
    <w:p>
      <w:pPr>
        <w:pStyle w:val="style0"/>
        <w:spacing w:lineRule="auto" w:line="480"/>
        <w:jc w:val="center"/>
        <w:rPr>
          <w:b/>
        </w:rPr>
      </w:pPr>
      <w:r>
        <w:rPr>
          <w:b/>
        </w:rPr>
        <w:t>Fallacy of soundness</w:t>
      </w:r>
    </w:p>
    <w:p>
      <w:pPr>
        <w:pStyle w:val="style0"/>
        <w:spacing w:lineRule="auto" w:line="480"/>
        <w:ind w:firstLine="720"/>
        <w:rPr/>
      </w:pPr>
      <w:r>
        <w:t xml:space="preserve">These are fallacies where the premise cannot support the conclusions made from it. </w:t>
      </w:r>
      <w:r>
        <w:t>They are characterized by the premise, minor term, and major term.</w:t>
      </w:r>
      <w:r>
        <w:t xml:space="preserve"> A premise in sound fallacy is unable to support the deduction because the premise is false.  Another fallacy is the fallacy of circularity. In this fallacy, the premise cannot support the conclusion even if they are true or false. This is because the conclusion forms a shadow that blocks the premise and thus making it unable to support the conclusion</w:t>
      </w:r>
      <w:r>
        <w:t xml:space="preserve"> (Woods &amp; Walton </w:t>
      </w:r>
      <w:r>
        <w:t>2019).</w:t>
      </w:r>
    </w:p>
    <w:p>
      <w:pPr>
        <w:pStyle w:val="style0"/>
        <w:spacing w:lineRule="auto" w:line="480"/>
        <w:ind w:firstLine="720"/>
        <w:rPr/>
      </w:pPr>
      <w:r>
        <w:t>Considering the above definitions of sound fallacy and the fallacy of circularity, the arguments cannot be sound f</w:t>
      </w:r>
      <w:r>
        <w:t>allacies. The first fallacy, "</w:t>
      </w:r>
      <w:r>
        <w:t xml:space="preserve">All humans are mortal. Max is </w:t>
      </w:r>
      <w:r>
        <w:t xml:space="preserve">human. Therefore, Max is mortal," is disqualified from sound fallacy because of its main premise (all human beings are mortal). All human beings are indeed subject to death, and true human beings </w:t>
      </w:r>
      <w:r>
        <w:t xml:space="preserve">are mortal disqualifies it from being a sound fallacy. </w:t>
      </w:r>
      <w:r>
        <w:t xml:space="preserve"> </w:t>
      </w:r>
      <w:r>
        <w:t xml:space="preserve">The second argument is that the cafeteria will not serve steak because it was on a Friday, not a sound fallacy. The premise </w:t>
      </w:r>
      <w:r>
        <w:t xml:space="preserve">is ambiguous, leavening room for debate about the validity of the cafeteria not serving steak on Fridays. As such, this is the fallacy of ambiguity as it requires some consideration of the truth of the major premise. </w:t>
      </w:r>
    </w:p>
    <w:p>
      <w:pPr>
        <w:pStyle w:val="style0"/>
        <w:spacing w:lineRule="auto" w:line="480"/>
        <w:ind w:firstLine="720"/>
        <w:rPr/>
      </w:pPr>
      <w:r>
        <w:t xml:space="preserve">In the third argument, where geckos are reptiles, and reptiles are cold-blooded, this argument's major premise is </w:t>
      </w:r>
      <w:r>
        <w:t>that all reptiles are cold-blooded, which is true. Reptiles body temperature depends on the temperature of the environment they are in. as such, the argument cannot be classified as a fallacy of sound. This fallacy requires the major premise to be false fo</w:t>
      </w:r>
      <w:r>
        <w:t xml:space="preserve">r it to be a sound fallacy. As such, it is </w:t>
      </w:r>
      <w:r>
        <w:t>a fallacy of circularity. Just like the third argument, the fourth argument is circularity because it has a true major fallacy that cannot support the conclusion. As such, all four arguments are not sound.</w:t>
      </w:r>
    </w:p>
    <w:p>
      <w:pPr>
        <w:pStyle w:val="style0"/>
        <w:spacing w:lineRule="auto" w:line="480"/>
        <w:jc w:val="center"/>
        <w:rPr>
          <w:b/>
        </w:rPr>
      </w:pPr>
      <w:r>
        <w:rPr>
          <w:b/>
        </w:rPr>
        <w:t>Part 2</w:t>
      </w:r>
    </w:p>
    <w:p>
      <w:pPr>
        <w:pStyle w:val="style0"/>
        <w:spacing w:lineRule="auto" w:line="480"/>
        <w:ind w:firstLine="720"/>
        <w:rPr/>
      </w:pPr>
      <w:r>
        <w:t xml:space="preserve">Drug driving should be legalized, </w:t>
      </w:r>
      <w:bookmarkStart w:id="0" w:name="_GoBack"/>
      <w:bookmarkEnd w:id="0"/>
      <w:r>
        <w:t xml:space="preserve">and the actions of drug drivers criminalized. Criminalizing drug driving violates the driver's civil rights as he/she has not committed any crime. When a drug driver causes an accident, the law should focus on the actions </w:t>
      </w:r>
      <w:r>
        <w:t xml:space="preserve">and not the driver's drunkenness. As such, the government should avoid basing the law on the probability of the driver causing accidents, but the activities of the drug drivers are the ones that cause harm to society. Thus they are the ones that should be </w:t>
      </w:r>
      <w:r>
        <w:t xml:space="preserve">criminalized. </w:t>
      </w:r>
    </w:p>
    <w:p>
      <w:pPr>
        <w:pStyle w:val="style0"/>
        <w:rPr/>
      </w:pPr>
      <w:r>
        <w:br w:type="page"/>
      </w:r>
    </w:p>
    <w:p>
      <w:pPr>
        <w:pStyle w:val="style0"/>
        <w:spacing w:lineRule="auto" w:line="480"/>
        <w:jc w:val="center"/>
        <w:rPr>
          <w:b/>
        </w:rPr>
      </w:pPr>
      <w:r>
        <w:rPr>
          <w:b/>
        </w:rPr>
        <w:t>References</w:t>
      </w:r>
    </w:p>
    <w:p>
      <w:pPr>
        <w:pStyle w:val="style0"/>
        <w:spacing w:lineRule="auto" w:line="480"/>
        <w:rPr/>
      </w:pPr>
      <w:r>
        <w:t>Woods, J., &amp; Walton, D. (2019). Fallacies. In </w:t>
      </w:r>
      <w:r>
        <w:rPr>
          <w:i/>
          <w:iCs/>
        </w:rPr>
        <w:t>Fallacies</w:t>
      </w:r>
      <w:r>
        <w:t>. De Gruyter Mouton.</w:t>
      </w:r>
    </w:p>
    <w:p>
      <w:pPr>
        <w:pStyle w:val="style0"/>
        <w:spacing w:lineRule="auto" w:line="480"/>
        <w:rPr/>
      </w:pPr>
    </w:p>
    <w:p>
      <w:pPr>
        <w:pStyle w:val="style0"/>
        <w:spacing w:lineRule="auto" w:line="480"/>
        <w:rPr/>
      </w:pPr>
    </w:p>
    <w:p>
      <w:pPr>
        <w:pStyle w:val="style0"/>
        <w:rPr/>
      </w:pP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t xml:space="preserve">The fallacy of soundness </w:t>
    </w:r>
    <w:r>
      <w:t xml:space="preserve">                                                               </w:t>
    </w:r>
    <w:r>
      <w:t xml:space="preserve">                          </w:t>
    </w:r>
    <w:r>
      <w:t xml:space="preserve">                        </w:t>
    </w: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t xml:space="preserve">Running Head; </w:t>
    </w:r>
    <w:r>
      <w:t xml:space="preserve">Fallacy of soundness </w:t>
    </w:r>
    <w:r>
      <w:t xml:space="preserve">                                                                                              1</w:t>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840CE3C"/>
    <w:lvl w:ilvl="0" w:tplc="3D16F15A">
      <w:start w:val="1"/>
      <w:numFmt w:val="decimal"/>
      <w:lvlText w:val="%1."/>
      <w:lvlJc w:val="left"/>
      <w:pPr>
        <w:ind w:left="720" w:hanging="360"/>
      </w:pPr>
      <w:rPr>
        <w:rFonts w:hint="default"/>
      </w:rPr>
    </w:lvl>
    <w:lvl w:ilvl="1" w:tplc="8D20873E" w:tentative="1">
      <w:start w:val="1"/>
      <w:numFmt w:val="lowerLetter"/>
      <w:lvlText w:val="%2."/>
      <w:lvlJc w:val="left"/>
      <w:pPr>
        <w:ind w:left="1440" w:hanging="360"/>
      </w:pPr>
    </w:lvl>
    <w:lvl w:ilvl="2" w:tplc="BAD658A0" w:tentative="1">
      <w:start w:val="1"/>
      <w:numFmt w:val="lowerRoman"/>
      <w:lvlText w:val="%3."/>
      <w:lvlJc w:val="right"/>
      <w:pPr>
        <w:ind w:left="2160" w:hanging="180"/>
      </w:pPr>
    </w:lvl>
    <w:lvl w:ilvl="3" w:tplc="5DA05604" w:tentative="1">
      <w:start w:val="1"/>
      <w:numFmt w:val="decimal"/>
      <w:lvlText w:val="%4."/>
      <w:lvlJc w:val="left"/>
      <w:pPr>
        <w:ind w:left="2880" w:hanging="360"/>
      </w:pPr>
    </w:lvl>
    <w:lvl w:ilvl="4" w:tplc="6B563A12" w:tentative="1">
      <w:start w:val="1"/>
      <w:numFmt w:val="lowerLetter"/>
      <w:lvlText w:val="%5."/>
      <w:lvlJc w:val="left"/>
      <w:pPr>
        <w:ind w:left="3600" w:hanging="360"/>
      </w:pPr>
    </w:lvl>
    <w:lvl w:ilvl="5" w:tplc="40905676" w:tentative="1">
      <w:start w:val="1"/>
      <w:numFmt w:val="lowerRoman"/>
      <w:lvlText w:val="%6."/>
      <w:lvlJc w:val="right"/>
      <w:pPr>
        <w:ind w:left="4320" w:hanging="180"/>
      </w:pPr>
    </w:lvl>
    <w:lvl w:ilvl="6" w:tplc="5274BEC6" w:tentative="1">
      <w:start w:val="1"/>
      <w:numFmt w:val="decimal"/>
      <w:lvlText w:val="%7."/>
      <w:lvlJc w:val="left"/>
      <w:pPr>
        <w:ind w:left="5040" w:hanging="360"/>
      </w:pPr>
    </w:lvl>
    <w:lvl w:ilvl="7" w:tplc="391AEB70" w:tentative="1">
      <w:start w:val="1"/>
      <w:numFmt w:val="lowerLetter"/>
      <w:lvlText w:val="%8."/>
      <w:lvlJc w:val="left"/>
      <w:pPr>
        <w:ind w:left="5760" w:hanging="360"/>
      </w:pPr>
    </w:lvl>
    <w:lvl w:ilvl="8" w:tplc="BC1AE376"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Calibri" w:hAnsi="Times New Roman"/>
        <w:sz w:val="24"/>
        <w:szCs w:val="24"/>
        <w:lang w:val="en-US" w:bidi="ar-SA" w:eastAsia="en-US"/>
      </w:rPr>
    </w:rPrDefault>
    <w:pPrDefault>
      <w:pPr>
        <w:spacing w:after="200"/>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pacing w:after="160" w:lineRule="auto" w:line="259"/>
      <w:ind w:left="720"/>
      <w:contextualSpacing/>
    </w:pPr>
    <w:rPr>
      <w:rFonts w:ascii="Calibri" w:cs="宋体" w:hAnsi="Calibri"/>
      <w:sz w:val="22"/>
      <w:szCs w:val="22"/>
    </w:rPr>
  </w:style>
  <w:style w:type="paragraph" w:styleId="style31">
    <w:name w:val="header"/>
    <w:basedOn w:val="style0"/>
    <w:next w:val="style31"/>
    <w:link w:val="style4097"/>
    <w:uiPriority w:val="99"/>
    <w:pPr>
      <w:tabs>
        <w:tab w:val="center" w:leader="none" w:pos="4680"/>
        <w:tab w:val="right" w:leader="none" w:pos="9360"/>
      </w:tabs>
      <w:spacing w:after="0"/>
    </w:pPr>
    <w:rPr/>
  </w:style>
  <w:style w:type="character" w:customStyle="1" w:styleId="style4097">
    <w:name w:val="Header Char_41868956-c176-4d8c-a3bb-9d37811d4e0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pPr>
    <w:rPr/>
  </w:style>
  <w:style w:type="character" w:customStyle="1" w:styleId="style4098">
    <w:name w:val="Footer Char_98ab34f1-b572-418d-aa6b-b0277233a081"/>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449</Words>
  <Pages>4</Pages>
  <Characters>2262</Characters>
  <Application>WPS Office</Application>
  <DocSecurity>0</DocSecurity>
  <Paragraphs>29</Paragraphs>
  <ScaleCrop>false</ScaleCrop>
  <LinksUpToDate>false</LinksUpToDate>
  <CharactersWithSpaces>2907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2021-04-25T19:36:00Z</dcterms:created>
  <dc:creator>Windows User</dc:creator>
  <lastModifiedBy>Infinix X650D</lastModifiedBy>
  <dcterms:modified xsi:type="dcterms:W3CDTF">2021-04-25T20:35:57Z</dcterms:modified>
  <revision>2</revision>
</coreProperties>
</file>

<file path=docProps/custom.xml><?xml version="1.0" encoding="utf-8"?>
<Properties xmlns="http://schemas.openxmlformats.org/officeDocument/2006/custom-properties" xmlns:vt="http://schemas.openxmlformats.org/officeDocument/2006/docPropsVTypes"/>
</file>